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2EBB" w14:textId="77777777" w:rsidR="003C486A" w:rsidRPr="00B02EE7" w:rsidRDefault="003143FF">
      <w:pPr>
        <w:rPr>
          <w:rFonts w:cstheme="minorHAnsi"/>
          <w:b/>
          <w:sz w:val="28"/>
          <w:szCs w:val="28"/>
          <w:u w:val="single"/>
        </w:rPr>
      </w:pPr>
      <w:r w:rsidRPr="00B02EE7">
        <w:rPr>
          <w:rFonts w:cstheme="minorHAnsi"/>
          <w:b/>
          <w:sz w:val="28"/>
          <w:szCs w:val="28"/>
          <w:u w:val="single"/>
        </w:rPr>
        <w:t>Recruitment and membership roadshow 2023</w:t>
      </w:r>
    </w:p>
    <w:p w14:paraId="32FE830B" w14:textId="77777777" w:rsidR="00B02EE7" w:rsidRPr="00B02EE7" w:rsidRDefault="00B02EE7" w:rsidP="00B02EE7">
      <w:pPr>
        <w:rPr>
          <w:rFonts w:cstheme="minorHAnsi"/>
          <w:sz w:val="28"/>
          <w:szCs w:val="28"/>
        </w:rPr>
      </w:pPr>
      <w:r w:rsidRPr="00B02EE7">
        <w:rPr>
          <w:rFonts w:cstheme="minorHAnsi"/>
          <w:sz w:val="28"/>
          <w:szCs w:val="28"/>
        </w:rPr>
        <w:t>SCAS provides a range of emergency, urgent care, and non-emergency healthcare services. The Trust delivers most of these services to the populations of the South-Central region – Berkshire, Buckinghamshire, Hampshire and Oxfordshire – as well as non-emergency patient transport services in Surrey and Sussex, and a dental service (accessed via NHS 111) in parts of Dorset. SCAS is a monopoly provider of 999 emergency ambulance services within the South</w:t>
      </w:r>
      <w:r>
        <w:rPr>
          <w:rFonts w:cstheme="minorHAnsi"/>
          <w:sz w:val="28"/>
          <w:szCs w:val="28"/>
        </w:rPr>
        <w:t>-</w:t>
      </w:r>
      <w:r w:rsidRPr="00B02EE7">
        <w:rPr>
          <w:rFonts w:cstheme="minorHAnsi"/>
          <w:sz w:val="28"/>
          <w:szCs w:val="28"/>
        </w:rPr>
        <w:t>Central region. With the expansion into Surrey and Sussex, SCAS now serve a population of over seven million people across the six counties. SCAS employ 4,412 staff who, together with over 1,200 volunteers, enable the Trust to operate 24 hours a day, seven days a week.</w:t>
      </w:r>
    </w:p>
    <w:p w14:paraId="68F5FEEE" w14:textId="4F558E5E" w:rsidR="00B02EE7" w:rsidRPr="00B02EE7" w:rsidRDefault="00B02EE7" w:rsidP="00B02EE7">
      <w:pPr>
        <w:spacing w:after="200"/>
        <w:rPr>
          <w:rFonts w:cstheme="minorHAnsi"/>
          <w:iCs/>
          <w:sz w:val="28"/>
          <w:szCs w:val="28"/>
        </w:rPr>
      </w:pPr>
      <w:r w:rsidRPr="00B02EE7">
        <w:rPr>
          <w:rFonts w:cstheme="minorHAnsi"/>
          <w:iCs/>
          <w:sz w:val="28"/>
          <w:szCs w:val="28"/>
        </w:rPr>
        <w:t>SCAS visited ten sites across the south-central area to promote recruitment and advertise vacancies at the Trust. Governors attended six sites</w:t>
      </w:r>
      <w:r w:rsidR="000D177D">
        <w:rPr>
          <w:rFonts w:cstheme="minorHAnsi"/>
          <w:iCs/>
          <w:sz w:val="28"/>
          <w:szCs w:val="28"/>
        </w:rPr>
        <w:t xml:space="preserve"> as </w:t>
      </w:r>
      <w:r w:rsidR="000D2D38">
        <w:rPr>
          <w:rFonts w:cstheme="minorHAnsi"/>
          <w:iCs/>
          <w:sz w:val="28"/>
          <w:szCs w:val="28"/>
        </w:rPr>
        <w:t>part of an initiative to pilot membership outreach instead of holding a fixed membership meeting in one location and expecting members and</w:t>
      </w:r>
      <w:r w:rsidR="009A0DBC">
        <w:rPr>
          <w:rFonts w:cstheme="minorHAnsi"/>
          <w:iCs/>
          <w:sz w:val="28"/>
          <w:szCs w:val="28"/>
        </w:rPr>
        <w:t xml:space="preserve"> members of the</w:t>
      </w:r>
      <w:r w:rsidR="000D2D38">
        <w:rPr>
          <w:rFonts w:cstheme="minorHAnsi"/>
          <w:iCs/>
          <w:sz w:val="28"/>
          <w:szCs w:val="28"/>
        </w:rPr>
        <w:t xml:space="preserve"> public to come to us</w:t>
      </w:r>
      <w:r w:rsidRPr="00B02EE7">
        <w:rPr>
          <w:rFonts w:cstheme="minorHAnsi"/>
          <w:iCs/>
          <w:sz w:val="28"/>
          <w:szCs w:val="28"/>
        </w:rPr>
        <w:t>.</w:t>
      </w:r>
      <w:r w:rsidR="00330F08">
        <w:rPr>
          <w:rFonts w:cstheme="minorHAnsi"/>
          <w:iCs/>
          <w:sz w:val="28"/>
          <w:szCs w:val="28"/>
        </w:rPr>
        <w:t xml:space="preserve"> </w:t>
      </w:r>
      <w:r w:rsidR="004A7D1B">
        <w:rPr>
          <w:rFonts w:cstheme="minorHAnsi"/>
          <w:iCs/>
          <w:sz w:val="28"/>
          <w:szCs w:val="28"/>
        </w:rPr>
        <w:t xml:space="preserve">Professor </w:t>
      </w:r>
      <w:r w:rsidR="00330F08">
        <w:rPr>
          <w:rFonts w:cstheme="minorHAnsi"/>
          <w:iCs/>
          <w:sz w:val="28"/>
          <w:szCs w:val="28"/>
        </w:rPr>
        <w:t>Keith Willett,</w:t>
      </w:r>
      <w:r w:rsidR="004A7D1B">
        <w:rPr>
          <w:rFonts w:cstheme="minorHAnsi"/>
          <w:iCs/>
          <w:sz w:val="28"/>
          <w:szCs w:val="28"/>
        </w:rPr>
        <w:t xml:space="preserve"> Chairman,</w:t>
      </w:r>
      <w:r w:rsidR="00121DCE">
        <w:rPr>
          <w:rFonts w:cstheme="minorHAnsi"/>
          <w:iCs/>
          <w:sz w:val="28"/>
          <w:szCs w:val="28"/>
        </w:rPr>
        <w:t xml:space="preserve"> joined us on 18 February in High Wycombe to support our engagement drive. </w:t>
      </w:r>
      <w:r w:rsidRPr="00B02EE7">
        <w:rPr>
          <w:rFonts w:cstheme="minorHAnsi"/>
          <w:iCs/>
          <w:sz w:val="28"/>
          <w:szCs w:val="28"/>
        </w:rPr>
        <w:t xml:space="preserve">Governors and staff were able raise awareness of what the ambulance service does and showcase vehicles. It was a fantastic opportunity to engage with the public across the counties we deliver our services and get feedback on what’s working and what needs improvement. We collaborated with recruitment to attend each location with a local Governor equipped with resources including membership forms, children’s activity packs and merchandise ready to engage with their members and the public at large. </w:t>
      </w:r>
    </w:p>
    <w:p w14:paraId="4041EAAB" w14:textId="77777777" w:rsidR="00B02EE7" w:rsidRPr="00B02EE7" w:rsidRDefault="00B02EE7" w:rsidP="00B02EE7">
      <w:pPr>
        <w:pStyle w:val="NormalWeb"/>
        <w:rPr>
          <w:rFonts w:asciiTheme="minorHAnsi" w:hAnsiTheme="minorHAnsi" w:cstheme="minorHAnsi"/>
          <w:sz w:val="28"/>
          <w:szCs w:val="28"/>
        </w:rPr>
      </w:pPr>
      <w:r w:rsidRPr="00B02EE7">
        <w:rPr>
          <w:rFonts w:asciiTheme="minorHAnsi" w:hAnsiTheme="minorHAnsi" w:cstheme="minorHAnsi"/>
          <w:sz w:val="28"/>
          <w:szCs w:val="28"/>
        </w:rPr>
        <w:t>These events provided a one stop shop for those who are looking to join the emergency services and a chance to meet members from the frontline who will be on hand to share their real-life experiences and give you a glimpse into their working lives.</w:t>
      </w:r>
    </w:p>
    <w:p w14:paraId="3BD485C7" w14:textId="77777777" w:rsidR="00B02EE7" w:rsidRPr="00B02EE7" w:rsidRDefault="00B02EE7" w:rsidP="00B02EE7">
      <w:pPr>
        <w:pStyle w:val="NormalWeb"/>
        <w:rPr>
          <w:rFonts w:asciiTheme="minorHAnsi" w:hAnsiTheme="minorHAnsi" w:cstheme="minorHAnsi"/>
          <w:sz w:val="28"/>
          <w:szCs w:val="28"/>
        </w:rPr>
      </w:pPr>
      <w:r w:rsidRPr="00B02EE7">
        <w:rPr>
          <w:rFonts w:asciiTheme="minorHAnsi" w:hAnsiTheme="minorHAnsi" w:cstheme="minorHAnsi"/>
          <w:sz w:val="28"/>
          <w:szCs w:val="28"/>
        </w:rPr>
        <w:t>The breadth of career opportunities didn’t stop at the frontline. Recruitment specialists and current employees were on hand to talk about the wide range of opportunities available, from office-based support roles, community engagement and apprenticeships, right through to volunteer work. You will get the chance to receive advice on entry routes, eligibility, and the general.</w:t>
      </w:r>
    </w:p>
    <w:p w14:paraId="631CED18" w14:textId="77777777" w:rsidR="00B02EE7" w:rsidRPr="00B02EE7" w:rsidRDefault="00B02EE7" w:rsidP="00B02EE7">
      <w:pPr>
        <w:pStyle w:val="NormalWeb"/>
        <w:rPr>
          <w:rFonts w:asciiTheme="minorHAnsi" w:hAnsiTheme="minorHAnsi" w:cstheme="minorHAnsi"/>
          <w:sz w:val="28"/>
          <w:szCs w:val="28"/>
        </w:rPr>
      </w:pPr>
      <w:r w:rsidRPr="00B02EE7">
        <w:rPr>
          <w:rFonts w:asciiTheme="minorHAnsi" w:hAnsiTheme="minorHAnsi" w:cstheme="minorHAnsi"/>
          <w:sz w:val="28"/>
          <w:szCs w:val="28"/>
        </w:rPr>
        <w:t xml:space="preserve">The feedback from Governors, public and staff has been </w:t>
      </w:r>
      <w:proofErr w:type="gramStart"/>
      <w:r w:rsidRPr="00B02EE7">
        <w:rPr>
          <w:rFonts w:asciiTheme="minorHAnsi" w:hAnsiTheme="minorHAnsi" w:cstheme="minorHAnsi"/>
          <w:sz w:val="28"/>
          <w:szCs w:val="28"/>
        </w:rPr>
        <w:t>positive</w:t>
      </w:r>
      <w:proofErr w:type="gramEnd"/>
      <w:r w:rsidRPr="00B02EE7">
        <w:rPr>
          <w:rFonts w:asciiTheme="minorHAnsi" w:hAnsiTheme="minorHAnsi" w:cstheme="minorHAnsi"/>
          <w:sz w:val="28"/>
          <w:szCs w:val="28"/>
        </w:rPr>
        <w:t xml:space="preserve"> and we hope to collaborate with recruitment again to engage with our members and the </w:t>
      </w:r>
      <w:r w:rsidRPr="00B02EE7">
        <w:rPr>
          <w:rFonts w:asciiTheme="minorHAnsi" w:hAnsiTheme="minorHAnsi" w:cstheme="minorHAnsi"/>
          <w:sz w:val="28"/>
          <w:szCs w:val="28"/>
        </w:rPr>
        <w:lastRenderedPageBreak/>
        <w:t xml:space="preserve">public at large to ensure that we are bringing engagement to local communities where it matters most. </w:t>
      </w:r>
    </w:p>
    <w:p w14:paraId="67C0AEB2" w14:textId="77777777" w:rsidR="00714BD4" w:rsidRPr="00B02EE7" w:rsidRDefault="00714BD4">
      <w:pPr>
        <w:rPr>
          <w:rFonts w:cstheme="minorHAnsi"/>
          <w:sz w:val="28"/>
          <w:szCs w:val="28"/>
        </w:rPr>
      </w:pPr>
    </w:p>
    <w:tbl>
      <w:tblPr>
        <w:tblStyle w:val="TableGrid"/>
        <w:tblW w:w="0" w:type="auto"/>
        <w:tblLook w:val="04A0" w:firstRow="1" w:lastRow="0" w:firstColumn="1" w:lastColumn="0" w:noHBand="0" w:noVBand="1"/>
      </w:tblPr>
      <w:tblGrid>
        <w:gridCol w:w="1803"/>
        <w:gridCol w:w="1803"/>
        <w:gridCol w:w="1803"/>
        <w:gridCol w:w="1803"/>
      </w:tblGrid>
      <w:tr w:rsidR="00B02EE7" w:rsidRPr="00B02EE7" w14:paraId="1EA4BF84" w14:textId="77777777" w:rsidTr="00C93B13">
        <w:tc>
          <w:tcPr>
            <w:tcW w:w="1803" w:type="dxa"/>
          </w:tcPr>
          <w:p w14:paraId="65FAE1F7" w14:textId="77777777" w:rsidR="00B02EE7" w:rsidRPr="00B02EE7" w:rsidRDefault="00B02EE7" w:rsidP="00C93B13">
            <w:pPr>
              <w:rPr>
                <w:rFonts w:cstheme="minorHAnsi"/>
                <w:b/>
                <w:sz w:val="28"/>
                <w:szCs w:val="28"/>
              </w:rPr>
            </w:pPr>
            <w:r w:rsidRPr="00B02EE7">
              <w:rPr>
                <w:rFonts w:cstheme="minorHAnsi"/>
                <w:b/>
                <w:sz w:val="28"/>
                <w:szCs w:val="28"/>
              </w:rPr>
              <w:t>Date</w:t>
            </w:r>
          </w:p>
        </w:tc>
        <w:tc>
          <w:tcPr>
            <w:tcW w:w="1803" w:type="dxa"/>
          </w:tcPr>
          <w:p w14:paraId="64BBB1DF" w14:textId="77777777" w:rsidR="00B02EE7" w:rsidRPr="00B02EE7" w:rsidRDefault="00B02EE7" w:rsidP="00C93B13">
            <w:pPr>
              <w:rPr>
                <w:rFonts w:cstheme="minorHAnsi"/>
                <w:b/>
                <w:sz w:val="28"/>
                <w:szCs w:val="28"/>
              </w:rPr>
            </w:pPr>
            <w:r w:rsidRPr="00B02EE7">
              <w:rPr>
                <w:rFonts w:cstheme="minorHAnsi"/>
                <w:b/>
                <w:sz w:val="28"/>
                <w:szCs w:val="28"/>
              </w:rPr>
              <w:t>Venue</w:t>
            </w:r>
          </w:p>
        </w:tc>
        <w:tc>
          <w:tcPr>
            <w:tcW w:w="1803" w:type="dxa"/>
          </w:tcPr>
          <w:p w14:paraId="0FA39C7E" w14:textId="77777777" w:rsidR="00B02EE7" w:rsidRPr="00B02EE7" w:rsidRDefault="00B02EE7" w:rsidP="00C93B13">
            <w:pPr>
              <w:rPr>
                <w:rFonts w:cstheme="minorHAnsi"/>
                <w:b/>
                <w:sz w:val="28"/>
                <w:szCs w:val="28"/>
              </w:rPr>
            </w:pPr>
            <w:r w:rsidRPr="00B02EE7">
              <w:rPr>
                <w:rFonts w:cstheme="minorHAnsi"/>
                <w:b/>
                <w:sz w:val="28"/>
                <w:szCs w:val="28"/>
              </w:rPr>
              <w:t>Governor</w:t>
            </w:r>
          </w:p>
        </w:tc>
        <w:tc>
          <w:tcPr>
            <w:tcW w:w="1803" w:type="dxa"/>
          </w:tcPr>
          <w:p w14:paraId="12B75782" w14:textId="77777777" w:rsidR="00B02EE7" w:rsidRPr="00B02EE7" w:rsidRDefault="00B02EE7" w:rsidP="00C93B13">
            <w:pPr>
              <w:rPr>
                <w:rFonts w:cstheme="minorHAnsi"/>
                <w:b/>
                <w:sz w:val="28"/>
                <w:szCs w:val="28"/>
              </w:rPr>
            </w:pPr>
            <w:r w:rsidRPr="00B02EE7">
              <w:rPr>
                <w:rFonts w:cstheme="minorHAnsi"/>
                <w:b/>
                <w:sz w:val="28"/>
                <w:szCs w:val="28"/>
              </w:rPr>
              <w:t>Public</w:t>
            </w:r>
          </w:p>
        </w:tc>
      </w:tr>
      <w:tr w:rsidR="00B02EE7" w:rsidRPr="00B02EE7" w14:paraId="160F555F" w14:textId="77777777" w:rsidTr="00C93B13">
        <w:tc>
          <w:tcPr>
            <w:tcW w:w="1803" w:type="dxa"/>
          </w:tcPr>
          <w:p w14:paraId="3153E1A7" w14:textId="77777777" w:rsidR="00B02EE7" w:rsidRPr="00B02EE7" w:rsidRDefault="00B02EE7" w:rsidP="00C93B13">
            <w:pPr>
              <w:rPr>
                <w:rFonts w:cstheme="minorHAnsi"/>
                <w:sz w:val="28"/>
                <w:szCs w:val="28"/>
              </w:rPr>
            </w:pPr>
            <w:r w:rsidRPr="00B02EE7">
              <w:rPr>
                <w:rFonts w:cstheme="minorHAnsi"/>
                <w:sz w:val="28"/>
                <w:szCs w:val="28"/>
              </w:rPr>
              <w:t xml:space="preserve">21 January </w:t>
            </w:r>
          </w:p>
        </w:tc>
        <w:tc>
          <w:tcPr>
            <w:tcW w:w="1803" w:type="dxa"/>
          </w:tcPr>
          <w:p w14:paraId="7A048E12" w14:textId="77777777" w:rsidR="00B02EE7" w:rsidRPr="00B02EE7" w:rsidRDefault="00B02EE7" w:rsidP="00C93B13">
            <w:pPr>
              <w:rPr>
                <w:rFonts w:cstheme="minorHAnsi"/>
                <w:sz w:val="28"/>
                <w:szCs w:val="28"/>
              </w:rPr>
            </w:pPr>
            <w:r w:rsidRPr="00B02EE7">
              <w:rPr>
                <w:rFonts w:cstheme="minorHAnsi"/>
                <w:sz w:val="28"/>
                <w:szCs w:val="28"/>
              </w:rPr>
              <w:t>Newbury</w:t>
            </w:r>
          </w:p>
        </w:tc>
        <w:tc>
          <w:tcPr>
            <w:tcW w:w="1803" w:type="dxa"/>
          </w:tcPr>
          <w:p w14:paraId="1BCB308B" w14:textId="77777777" w:rsidR="00B02EE7" w:rsidRPr="00B02EE7" w:rsidRDefault="00B02EE7" w:rsidP="00C93B13">
            <w:pPr>
              <w:rPr>
                <w:rFonts w:cstheme="minorHAnsi"/>
                <w:sz w:val="28"/>
                <w:szCs w:val="28"/>
              </w:rPr>
            </w:pPr>
            <w:r w:rsidRPr="00B02EE7">
              <w:rPr>
                <w:rFonts w:cstheme="minorHAnsi"/>
                <w:sz w:val="28"/>
                <w:szCs w:val="28"/>
              </w:rPr>
              <w:t>Helen Ramsay</w:t>
            </w:r>
          </w:p>
        </w:tc>
        <w:tc>
          <w:tcPr>
            <w:tcW w:w="1803" w:type="dxa"/>
          </w:tcPr>
          <w:p w14:paraId="5D11FC77" w14:textId="77777777" w:rsidR="00B02EE7" w:rsidRPr="00B02EE7" w:rsidRDefault="00B02EE7" w:rsidP="00C93B13">
            <w:pPr>
              <w:rPr>
                <w:rFonts w:cstheme="minorHAnsi"/>
                <w:sz w:val="28"/>
                <w:szCs w:val="28"/>
              </w:rPr>
            </w:pPr>
            <w:r w:rsidRPr="00B02EE7">
              <w:rPr>
                <w:rFonts w:cstheme="minorHAnsi"/>
                <w:sz w:val="28"/>
                <w:szCs w:val="28"/>
              </w:rPr>
              <w:t>51</w:t>
            </w:r>
          </w:p>
        </w:tc>
      </w:tr>
      <w:tr w:rsidR="00B02EE7" w:rsidRPr="00B02EE7" w14:paraId="7D1BE34A" w14:textId="77777777" w:rsidTr="00C93B13">
        <w:tc>
          <w:tcPr>
            <w:tcW w:w="1803" w:type="dxa"/>
          </w:tcPr>
          <w:p w14:paraId="654AE5D1" w14:textId="77777777" w:rsidR="00B02EE7" w:rsidRPr="00B02EE7" w:rsidRDefault="00B02EE7" w:rsidP="00C93B13">
            <w:pPr>
              <w:rPr>
                <w:rFonts w:cstheme="minorHAnsi"/>
                <w:sz w:val="28"/>
                <w:szCs w:val="28"/>
              </w:rPr>
            </w:pPr>
            <w:r w:rsidRPr="00B02EE7">
              <w:rPr>
                <w:rFonts w:cstheme="minorHAnsi"/>
                <w:sz w:val="28"/>
                <w:szCs w:val="28"/>
              </w:rPr>
              <w:t xml:space="preserve">28 January </w:t>
            </w:r>
          </w:p>
        </w:tc>
        <w:tc>
          <w:tcPr>
            <w:tcW w:w="1803" w:type="dxa"/>
          </w:tcPr>
          <w:p w14:paraId="055F67A2" w14:textId="77777777" w:rsidR="00B02EE7" w:rsidRPr="00B02EE7" w:rsidRDefault="00B02EE7" w:rsidP="00C93B13">
            <w:pPr>
              <w:rPr>
                <w:rFonts w:cstheme="minorHAnsi"/>
                <w:sz w:val="28"/>
                <w:szCs w:val="28"/>
              </w:rPr>
            </w:pPr>
            <w:proofErr w:type="spellStart"/>
            <w:r w:rsidRPr="00B02EE7">
              <w:rPr>
                <w:rFonts w:cstheme="minorHAnsi"/>
                <w:sz w:val="28"/>
                <w:szCs w:val="28"/>
              </w:rPr>
              <w:t>Otterbourne</w:t>
            </w:r>
            <w:proofErr w:type="spellEnd"/>
          </w:p>
        </w:tc>
        <w:tc>
          <w:tcPr>
            <w:tcW w:w="1803" w:type="dxa"/>
          </w:tcPr>
          <w:p w14:paraId="38176A20" w14:textId="77777777" w:rsidR="00B02EE7" w:rsidRPr="00B02EE7" w:rsidRDefault="00B02EE7" w:rsidP="00C93B13">
            <w:pPr>
              <w:rPr>
                <w:rFonts w:cstheme="minorHAnsi"/>
                <w:sz w:val="28"/>
                <w:szCs w:val="28"/>
              </w:rPr>
            </w:pPr>
            <w:r w:rsidRPr="00B02EE7">
              <w:rPr>
                <w:rFonts w:cstheme="minorHAnsi"/>
                <w:sz w:val="28"/>
                <w:szCs w:val="28"/>
              </w:rPr>
              <w:t>Chas McGill</w:t>
            </w:r>
          </w:p>
          <w:p w14:paraId="754F10E8" w14:textId="77777777" w:rsidR="00B02EE7" w:rsidRPr="00B02EE7" w:rsidRDefault="00B02EE7" w:rsidP="00C93B13">
            <w:pPr>
              <w:rPr>
                <w:rFonts w:cstheme="minorHAnsi"/>
                <w:sz w:val="28"/>
                <w:szCs w:val="28"/>
              </w:rPr>
            </w:pPr>
            <w:r w:rsidRPr="00B02EE7">
              <w:rPr>
                <w:rFonts w:cstheme="minorHAnsi"/>
                <w:sz w:val="28"/>
                <w:szCs w:val="28"/>
              </w:rPr>
              <w:t>Tony Nicholson</w:t>
            </w:r>
          </w:p>
        </w:tc>
        <w:tc>
          <w:tcPr>
            <w:tcW w:w="1803" w:type="dxa"/>
          </w:tcPr>
          <w:p w14:paraId="754898D4" w14:textId="7AA17246" w:rsidR="00B02EE7" w:rsidRPr="00B02EE7" w:rsidRDefault="00380113" w:rsidP="00C93B13">
            <w:pPr>
              <w:rPr>
                <w:rFonts w:cstheme="minorHAnsi"/>
                <w:sz w:val="28"/>
                <w:szCs w:val="28"/>
              </w:rPr>
            </w:pPr>
            <w:r>
              <w:rPr>
                <w:rFonts w:cstheme="minorHAnsi"/>
                <w:sz w:val="28"/>
                <w:szCs w:val="28"/>
              </w:rPr>
              <w:t>24</w:t>
            </w:r>
          </w:p>
        </w:tc>
      </w:tr>
      <w:tr w:rsidR="00B02EE7" w:rsidRPr="00B02EE7" w14:paraId="4462876B" w14:textId="77777777" w:rsidTr="00C93B13">
        <w:tc>
          <w:tcPr>
            <w:tcW w:w="1803" w:type="dxa"/>
          </w:tcPr>
          <w:p w14:paraId="31EB8BD7" w14:textId="77777777" w:rsidR="00B02EE7" w:rsidRPr="00B02EE7" w:rsidRDefault="00B02EE7" w:rsidP="00C93B13">
            <w:pPr>
              <w:rPr>
                <w:rFonts w:cstheme="minorHAnsi"/>
                <w:sz w:val="28"/>
                <w:szCs w:val="28"/>
              </w:rPr>
            </w:pPr>
            <w:r w:rsidRPr="00B02EE7">
              <w:rPr>
                <w:rFonts w:cstheme="minorHAnsi"/>
                <w:sz w:val="28"/>
                <w:szCs w:val="28"/>
              </w:rPr>
              <w:t>4 Feb</w:t>
            </w:r>
          </w:p>
        </w:tc>
        <w:tc>
          <w:tcPr>
            <w:tcW w:w="1803" w:type="dxa"/>
          </w:tcPr>
          <w:p w14:paraId="3460779F" w14:textId="77777777" w:rsidR="00B02EE7" w:rsidRPr="00B02EE7" w:rsidRDefault="00B02EE7" w:rsidP="00C93B13">
            <w:pPr>
              <w:rPr>
                <w:rFonts w:cstheme="minorHAnsi"/>
                <w:sz w:val="28"/>
                <w:szCs w:val="28"/>
              </w:rPr>
            </w:pPr>
            <w:proofErr w:type="spellStart"/>
            <w:r w:rsidRPr="00B02EE7">
              <w:rPr>
                <w:rFonts w:cstheme="minorHAnsi"/>
                <w:sz w:val="28"/>
                <w:szCs w:val="28"/>
              </w:rPr>
              <w:t>Whiteley</w:t>
            </w:r>
            <w:proofErr w:type="spellEnd"/>
            <w:r w:rsidRPr="00B02EE7">
              <w:rPr>
                <w:rFonts w:cstheme="minorHAnsi"/>
                <w:sz w:val="28"/>
                <w:szCs w:val="28"/>
              </w:rPr>
              <w:t>, Fareham</w:t>
            </w:r>
          </w:p>
        </w:tc>
        <w:tc>
          <w:tcPr>
            <w:tcW w:w="1803" w:type="dxa"/>
          </w:tcPr>
          <w:p w14:paraId="73D9D14C" w14:textId="77777777" w:rsidR="00B02EE7" w:rsidRPr="00B02EE7" w:rsidRDefault="00B02EE7" w:rsidP="00C93B13">
            <w:pPr>
              <w:rPr>
                <w:rFonts w:cstheme="minorHAnsi"/>
                <w:sz w:val="28"/>
                <w:szCs w:val="28"/>
              </w:rPr>
            </w:pPr>
            <w:r w:rsidRPr="00B02EE7">
              <w:rPr>
                <w:rFonts w:cstheme="minorHAnsi"/>
                <w:sz w:val="28"/>
                <w:szCs w:val="28"/>
              </w:rPr>
              <w:t>Andy Bartlett</w:t>
            </w:r>
          </w:p>
          <w:p w14:paraId="063F35D7" w14:textId="77777777" w:rsidR="00B02EE7" w:rsidRPr="00B02EE7" w:rsidRDefault="00B02EE7" w:rsidP="00C93B13">
            <w:pPr>
              <w:rPr>
                <w:rFonts w:cstheme="minorHAnsi"/>
                <w:sz w:val="28"/>
                <w:szCs w:val="28"/>
              </w:rPr>
            </w:pPr>
            <w:r w:rsidRPr="00B02EE7">
              <w:rPr>
                <w:rFonts w:cstheme="minorHAnsi"/>
                <w:sz w:val="28"/>
                <w:szCs w:val="28"/>
              </w:rPr>
              <w:t>Hilary Foley</w:t>
            </w:r>
          </w:p>
        </w:tc>
        <w:tc>
          <w:tcPr>
            <w:tcW w:w="1803" w:type="dxa"/>
          </w:tcPr>
          <w:p w14:paraId="42013BDE" w14:textId="77777777" w:rsidR="00B02EE7" w:rsidRPr="00B02EE7" w:rsidRDefault="00B02EE7" w:rsidP="00C93B13">
            <w:pPr>
              <w:rPr>
                <w:rFonts w:cstheme="minorHAnsi"/>
                <w:sz w:val="28"/>
                <w:szCs w:val="28"/>
              </w:rPr>
            </w:pPr>
            <w:r w:rsidRPr="00B02EE7">
              <w:rPr>
                <w:rFonts w:cstheme="minorHAnsi"/>
                <w:sz w:val="28"/>
                <w:szCs w:val="28"/>
              </w:rPr>
              <w:t>36</w:t>
            </w:r>
          </w:p>
        </w:tc>
      </w:tr>
      <w:tr w:rsidR="00B02EE7" w:rsidRPr="00B02EE7" w14:paraId="18C89CF2" w14:textId="77777777" w:rsidTr="00C93B13">
        <w:tc>
          <w:tcPr>
            <w:tcW w:w="1803" w:type="dxa"/>
          </w:tcPr>
          <w:p w14:paraId="12F1F08F" w14:textId="77777777" w:rsidR="00B02EE7" w:rsidRPr="00B02EE7" w:rsidRDefault="00B02EE7" w:rsidP="00C93B13">
            <w:pPr>
              <w:rPr>
                <w:rFonts w:cstheme="minorHAnsi"/>
                <w:sz w:val="28"/>
                <w:szCs w:val="28"/>
              </w:rPr>
            </w:pPr>
            <w:r w:rsidRPr="00B02EE7">
              <w:rPr>
                <w:rFonts w:cstheme="minorHAnsi"/>
                <w:sz w:val="28"/>
                <w:szCs w:val="28"/>
              </w:rPr>
              <w:t>11 Feb</w:t>
            </w:r>
          </w:p>
        </w:tc>
        <w:tc>
          <w:tcPr>
            <w:tcW w:w="1803" w:type="dxa"/>
          </w:tcPr>
          <w:p w14:paraId="66A66BDF" w14:textId="77777777" w:rsidR="00B02EE7" w:rsidRPr="00B02EE7" w:rsidRDefault="00B02EE7" w:rsidP="00C93B13">
            <w:pPr>
              <w:rPr>
                <w:rFonts w:cstheme="minorHAnsi"/>
                <w:sz w:val="28"/>
                <w:szCs w:val="28"/>
              </w:rPr>
            </w:pPr>
            <w:r w:rsidRPr="00B02EE7">
              <w:rPr>
                <w:rFonts w:cstheme="minorHAnsi"/>
                <w:sz w:val="28"/>
                <w:szCs w:val="28"/>
              </w:rPr>
              <w:t>Oxford</w:t>
            </w:r>
          </w:p>
        </w:tc>
        <w:tc>
          <w:tcPr>
            <w:tcW w:w="1803" w:type="dxa"/>
          </w:tcPr>
          <w:p w14:paraId="1985469F" w14:textId="3D3B2D69" w:rsidR="00B02EE7" w:rsidRPr="00B02EE7" w:rsidRDefault="00B02EE7" w:rsidP="00C93B13">
            <w:pPr>
              <w:rPr>
                <w:rFonts w:cstheme="minorHAnsi"/>
                <w:sz w:val="28"/>
                <w:szCs w:val="28"/>
              </w:rPr>
            </w:pPr>
            <w:r w:rsidRPr="00B02EE7">
              <w:rPr>
                <w:rFonts w:cstheme="minorHAnsi"/>
                <w:sz w:val="28"/>
                <w:szCs w:val="28"/>
              </w:rPr>
              <w:t>Loretta Light</w:t>
            </w:r>
          </w:p>
          <w:p w14:paraId="28F2F7DD" w14:textId="00DCC557" w:rsidR="00B02EE7" w:rsidRPr="00B02EE7" w:rsidRDefault="00B02EE7" w:rsidP="00C93B13">
            <w:pPr>
              <w:rPr>
                <w:rFonts w:cstheme="minorHAnsi"/>
                <w:sz w:val="28"/>
                <w:szCs w:val="28"/>
              </w:rPr>
            </w:pPr>
            <w:r w:rsidRPr="00B02EE7">
              <w:rPr>
                <w:rFonts w:cstheme="minorHAnsi"/>
                <w:sz w:val="28"/>
                <w:szCs w:val="28"/>
              </w:rPr>
              <w:t>Loren Bennet</w:t>
            </w:r>
          </w:p>
        </w:tc>
        <w:tc>
          <w:tcPr>
            <w:tcW w:w="1803" w:type="dxa"/>
          </w:tcPr>
          <w:p w14:paraId="0C1B924F" w14:textId="77777777" w:rsidR="00B02EE7" w:rsidRPr="00B02EE7" w:rsidRDefault="00B02EE7" w:rsidP="00C93B13">
            <w:pPr>
              <w:rPr>
                <w:rFonts w:cstheme="minorHAnsi"/>
                <w:sz w:val="28"/>
                <w:szCs w:val="28"/>
              </w:rPr>
            </w:pPr>
            <w:r w:rsidRPr="00B02EE7">
              <w:rPr>
                <w:rFonts w:cstheme="minorHAnsi"/>
                <w:sz w:val="28"/>
                <w:szCs w:val="28"/>
              </w:rPr>
              <w:t>34</w:t>
            </w:r>
          </w:p>
        </w:tc>
      </w:tr>
      <w:tr w:rsidR="00B02EE7" w:rsidRPr="00B02EE7" w14:paraId="27AAE2CA" w14:textId="77777777" w:rsidTr="00C93B13">
        <w:tc>
          <w:tcPr>
            <w:tcW w:w="1803" w:type="dxa"/>
          </w:tcPr>
          <w:p w14:paraId="6339A4E3" w14:textId="77777777" w:rsidR="00B02EE7" w:rsidRPr="00B02EE7" w:rsidRDefault="00B02EE7" w:rsidP="00C93B13">
            <w:pPr>
              <w:rPr>
                <w:rFonts w:cstheme="minorHAnsi"/>
                <w:sz w:val="28"/>
                <w:szCs w:val="28"/>
              </w:rPr>
            </w:pPr>
            <w:r w:rsidRPr="00B02EE7">
              <w:rPr>
                <w:rFonts w:cstheme="minorHAnsi"/>
                <w:sz w:val="28"/>
                <w:szCs w:val="28"/>
              </w:rPr>
              <w:t>18 Feb</w:t>
            </w:r>
          </w:p>
        </w:tc>
        <w:tc>
          <w:tcPr>
            <w:tcW w:w="1803" w:type="dxa"/>
          </w:tcPr>
          <w:p w14:paraId="3577826A" w14:textId="77777777" w:rsidR="00B02EE7" w:rsidRPr="00B02EE7" w:rsidRDefault="00B02EE7" w:rsidP="00C93B13">
            <w:pPr>
              <w:rPr>
                <w:rFonts w:cstheme="minorHAnsi"/>
                <w:sz w:val="28"/>
                <w:szCs w:val="28"/>
              </w:rPr>
            </w:pPr>
            <w:r w:rsidRPr="00B02EE7">
              <w:rPr>
                <w:rFonts w:cstheme="minorHAnsi"/>
                <w:sz w:val="28"/>
                <w:szCs w:val="28"/>
              </w:rPr>
              <w:t>High Wycombe</w:t>
            </w:r>
          </w:p>
        </w:tc>
        <w:tc>
          <w:tcPr>
            <w:tcW w:w="1803" w:type="dxa"/>
          </w:tcPr>
          <w:p w14:paraId="44D2F034" w14:textId="04AF7010" w:rsidR="00B02EE7" w:rsidRPr="00B02EE7" w:rsidRDefault="00B02EE7" w:rsidP="00C93B13">
            <w:pPr>
              <w:rPr>
                <w:rFonts w:cstheme="minorHAnsi"/>
                <w:sz w:val="28"/>
                <w:szCs w:val="28"/>
              </w:rPr>
            </w:pPr>
            <w:r w:rsidRPr="00B02EE7">
              <w:rPr>
                <w:rFonts w:cstheme="minorHAnsi"/>
                <w:sz w:val="28"/>
                <w:szCs w:val="28"/>
              </w:rPr>
              <w:t>Ian Sayer</w:t>
            </w:r>
          </w:p>
          <w:p w14:paraId="6B55D09B" w14:textId="4956FA8C" w:rsidR="00B02EE7" w:rsidRPr="00330F08" w:rsidRDefault="00B02EE7" w:rsidP="00C93B13">
            <w:pPr>
              <w:rPr>
                <w:rFonts w:cstheme="minorHAnsi"/>
                <w:b/>
                <w:bCs/>
                <w:sz w:val="28"/>
                <w:szCs w:val="28"/>
              </w:rPr>
            </w:pPr>
            <w:r w:rsidRPr="00330F08">
              <w:rPr>
                <w:rFonts w:cstheme="minorHAnsi"/>
                <w:b/>
                <w:bCs/>
                <w:sz w:val="28"/>
                <w:szCs w:val="28"/>
              </w:rPr>
              <w:t>Keith Willett</w:t>
            </w:r>
            <w:r w:rsidR="00330F08" w:rsidRPr="00330F08">
              <w:rPr>
                <w:rFonts w:cstheme="minorHAnsi"/>
                <w:b/>
                <w:bCs/>
                <w:sz w:val="28"/>
                <w:szCs w:val="28"/>
              </w:rPr>
              <w:t>, Chair</w:t>
            </w:r>
          </w:p>
        </w:tc>
        <w:tc>
          <w:tcPr>
            <w:tcW w:w="1803" w:type="dxa"/>
          </w:tcPr>
          <w:p w14:paraId="5630C2B8" w14:textId="77777777" w:rsidR="00B02EE7" w:rsidRPr="00B02EE7" w:rsidRDefault="00B02EE7" w:rsidP="00C93B13">
            <w:pPr>
              <w:rPr>
                <w:rFonts w:cstheme="minorHAnsi"/>
                <w:sz w:val="28"/>
                <w:szCs w:val="28"/>
              </w:rPr>
            </w:pPr>
            <w:r w:rsidRPr="00B02EE7">
              <w:rPr>
                <w:rFonts w:cstheme="minorHAnsi"/>
                <w:sz w:val="28"/>
                <w:szCs w:val="28"/>
              </w:rPr>
              <w:t>65</w:t>
            </w:r>
          </w:p>
        </w:tc>
      </w:tr>
      <w:tr w:rsidR="00B02EE7" w:rsidRPr="00B02EE7" w14:paraId="1D2871E2" w14:textId="77777777" w:rsidTr="00C93B13">
        <w:tc>
          <w:tcPr>
            <w:tcW w:w="1803" w:type="dxa"/>
          </w:tcPr>
          <w:p w14:paraId="61CB1FF8" w14:textId="77777777" w:rsidR="00B02EE7" w:rsidRPr="00B02EE7" w:rsidRDefault="00B02EE7" w:rsidP="00C93B13">
            <w:pPr>
              <w:rPr>
                <w:rFonts w:cstheme="minorHAnsi"/>
                <w:sz w:val="28"/>
                <w:szCs w:val="28"/>
              </w:rPr>
            </w:pPr>
            <w:r w:rsidRPr="00B02EE7">
              <w:rPr>
                <w:rFonts w:cstheme="minorHAnsi"/>
                <w:sz w:val="28"/>
                <w:szCs w:val="28"/>
              </w:rPr>
              <w:t>26 Feb</w:t>
            </w:r>
          </w:p>
        </w:tc>
        <w:tc>
          <w:tcPr>
            <w:tcW w:w="1803" w:type="dxa"/>
          </w:tcPr>
          <w:p w14:paraId="48965CF6" w14:textId="77777777" w:rsidR="00B02EE7" w:rsidRPr="00B02EE7" w:rsidRDefault="00B02EE7" w:rsidP="00C93B13">
            <w:pPr>
              <w:rPr>
                <w:rFonts w:cstheme="minorHAnsi"/>
                <w:sz w:val="28"/>
                <w:szCs w:val="28"/>
              </w:rPr>
            </w:pPr>
            <w:r w:rsidRPr="00B02EE7">
              <w:rPr>
                <w:rFonts w:cstheme="minorHAnsi"/>
                <w:sz w:val="28"/>
                <w:szCs w:val="28"/>
              </w:rPr>
              <w:t>Milton Keynes</w:t>
            </w:r>
          </w:p>
        </w:tc>
        <w:tc>
          <w:tcPr>
            <w:tcW w:w="1803" w:type="dxa"/>
          </w:tcPr>
          <w:p w14:paraId="4B792A79" w14:textId="77777777" w:rsidR="00B02EE7" w:rsidRPr="00B02EE7" w:rsidRDefault="00B02EE7" w:rsidP="00C93B13">
            <w:pPr>
              <w:rPr>
                <w:rFonts w:cstheme="minorHAnsi"/>
                <w:sz w:val="28"/>
                <w:szCs w:val="28"/>
              </w:rPr>
            </w:pPr>
            <w:r w:rsidRPr="00B02EE7">
              <w:rPr>
                <w:rFonts w:cstheme="minorHAnsi"/>
                <w:sz w:val="28"/>
                <w:szCs w:val="28"/>
              </w:rPr>
              <w:t>Mike Appleyard</w:t>
            </w:r>
          </w:p>
        </w:tc>
        <w:tc>
          <w:tcPr>
            <w:tcW w:w="1803" w:type="dxa"/>
          </w:tcPr>
          <w:p w14:paraId="025F4D63" w14:textId="77777777" w:rsidR="00B02EE7" w:rsidRPr="00B02EE7" w:rsidRDefault="00B02EE7" w:rsidP="00C93B13">
            <w:pPr>
              <w:rPr>
                <w:rFonts w:cstheme="minorHAnsi"/>
                <w:sz w:val="28"/>
                <w:szCs w:val="28"/>
              </w:rPr>
            </w:pPr>
            <w:r w:rsidRPr="00B02EE7">
              <w:rPr>
                <w:rFonts w:cstheme="minorHAnsi"/>
                <w:sz w:val="28"/>
                <w:szCs w:val="28"/>
              </w:rPr>
              <w:t>51</w:t>
            </w:r>
          </w:p>
        </w:tc>
      </w:tr>
    </w:tbl>
    <w:p w14:paraId="33A5B74F" w14:textId="77777777" w:rsidR="008471F0" w:rsidRPr="00B02EE7" w:rsidRDefault="008471F0" w:rsidP="00714BD4">
      <w:pPr>
        <w:rPr>
          <w:rFonts w:cstheme="minorHAnsi"/>
          <w:sz w:val="28"/>
          <w:szCs w:val="28"/>
        </w:rPr>
      </w:pPr>
    </w:p>
    <w:p w14:paraId="777611C3" w14:textId="77777777" w:rsidR="008471F0" w:rsidRPr="00B02EE7" w:rsidRDefault="008471F0" w:rsidP="008471F0">
      <w:pPr>
        <w:rPr>
          <w:rFonts w:cstheme="minorHAnsi"/>
          <w:b/>
          <w:sz w:val="28"/>
          <w:szCs w:val="28"/>
        </w:rPr>
      </w:pPr>
      <w:r w:rsidRPr="00B02EE7">
        <w:rPr>
          <w:rFonts w:cstheme="minorHAnsi"/>
          <w:b/>
          <w:sz w:val="28"/>
          <w:szCs w:val="28"/>
        </w:rPr>
        <w:t>Outcomes</w:t>
      </w:r>
    </w:p>
    <w:p w14:paraId="07944B4C" w14:textId="77777777" w:rsidR="008471F0" w:rsidRPr="00B02EE7" w:rsidRDefault="008471F0" w:rsidP="008471F0">
      <w:pPr>
        <w:pStyle w:val="ListParagraph"/>
        <w:numPr>
          <w:ilvl w:val="0"/>
          <w:numId w:val="3"/>
        </w:numPr>
        <w:rPr>
          <w:rFonts w:cstheme="minorHAnsi"/>
          <w:sz w:val="28"/>
          <w:szCs w:val="28"/>
        </w:rPr>
      </w:pPr>
      <w:r w:rsidRPr="00B02EE7">
        <w:rPr>
          <w:rFonts w:cstheme="minorHAnsi"/>
          <w:sz w:val="28"/>
          <w:szCs w:val="28"/>
        </w:rPr>
        <w:t xml:space="preserve">Jobs offered </w:t>
      </w:r>
    </w:p>
    <w:p w14:paraId="5F1953FC" w14:textId="77777777" w:rsidR="008471F0" w:rsidRPr="00B02EE7" w:rsidRDefault="008471F0" w:rsidP="008471F0">
      <w:pPr>
        <w:pStyle w:val="ListParagraph"/>
        <w:numPr>
          <w:ilvl w:val="0"/>
          <w:numId w:val="3"/>
        </w:numPr>
        <w:rPr>
          <w:rFonts w:cstheme="minorHAnsi"/>
          <w:sz w:val="28"/>
          <w:szCs w:val="28"/>
        </w:rPr>
      </w:pPr>
      <w:r w:rsidRPr="00B02EE7">
        <w:rPr>
          <w:rFonts w:cstheme="minorHAnsi"/>
          <w:sz w:val="28"/>
          <w:szCs w:val="28"/>
        </w:rPr>
        <w:t>Call centre x 9</w:t>
      </w:r>
    </w:p>
    <w:p w14:paraId="69B7DF48" w14:textId="77777777" w:rsidR="008471F0" w:rsidRPr="00B02EE7" w:rsidRDefault="008471F0" w:rsidP="008471F0">
      <w:pPr>
        <w:pStyle w:val="ListParagraph"/>
        <w:numPr>
          <w:ilvl w:val="0"/>
          <w:numId w:val="3"/>
        </w:numPr>
        <w:rPr>
          <w:rFonts w:cstheme="minorHAnsi"/>
          <w:sz w:val="28"/>
          <w:szCs w:val="28"/>
        </w:rPr>
      </w:pPr>
      <w:r w:rsidRPr="00B02EE7">
        <w:rPr>
          <w:rFonts w:cstheme="minorHAnsi"/>
          <w:sz w:val="28"/>
          <w:szCs w:val="28"/>
        </w:rPr>
        <w:t>Application and assessments ongoing therefore final figures pending</w:t>
      </w:r>
    </w:p>
    <w:p w14:paraId="4DFDCD35" w14:textId="77777777" w:rsidR="008471F0" w:rsidRPr="00B02EE7" w:rsidRDefault="008471F0" w:rsidP="00DA1EB1">
      <w:pPr>
        <w:pStyle w:val="ListParagraph"/>
        <w:numPr>
          <w:ilvl w:val="0"/>
          <w:numId w:val="3"/>
        </w:numPr>
        <w:rPr>
          <w:rFonts w:cstheme="minorHAnsi"/>
          <w:sz w:val="28"/>
          <w:szCs w:val="28"/>
        </w:rPr>
      </w:pPr>
      <w:r w:rsidRPr="00B02EE7">
        <w:rPr>
          <w:rFonts w:cstheme="minorHAnsi"/>
          <w:sz w:val="28"/>
          <w:szCs w:val="28"/>
        </w:rPr>
        <w:t>Princes Trust Programme</w:t>
      </w:r>
      <w:r w:rsidR="00B02EE7" w:rsidRPr="00B02EE7">
        <w:rPr>
          <w:rFonts w:cstheme="minorHAnsi"/>
          <w:sz w:val="28"/>
          <w:szCs w:val="28"/>
        </w:rPr>
        <w:t xml:space="preserve"> </w:t>
      </w:r>
      <w:r w:rsidRPr="00B02EE7">
        <w:rPr>
          <w:rFonts w:cstheme="minorHAnsi"/>
          <w:sz w:val="28"/>
          <w:szCs w:val="28"/>
        </w:rPr>
        <w:t>X 14</w:t>
      </w:r>
    </w:p>
    <w:p w14:paraId="1CB6545B" w14:textId="77777777" w:rsidR="008471F0" w:rsidRPr="00B02EE7" w:rsidRDefault="003143FF" w:rsidP="008471F0">
      <w:pPr>
        <w:rPr>
          <w:rFonts w:cstheme="minorHAnsi"/>
          <w:b/>
          <w:sz w:val="28"/>
          <w:szCs w:val="28"/>
        </w:rPr>
      </w:pPr>
      <w:r w:rsidRPr="00B02EE7">
        <w:rPr>
          <w:rFonts w:cstheme="minorHAnsi"/>
          <w:b/>
          <w:sz w:val="28"/>
          <w:szCs w:val="28"/>
        </w:rPr>
        <w:t xml:space="preserve">Feedback </w:t>
      </w:r>
    </w:p>
    <w:p w14:paraId="19CEE254" w14:textId="77777777" w:rsidR="008471F0" w:rsidRPr="00B02EE7" w:rsidRDefault="008471F0" w:rsidP="008471F0">
      <w:pPr>
        <w:shd w:val="clear" w:color="auto" w:fill="FFFFFF"/>
        <w:spacing w:before="100" w:beforeAutospacing="1" w:after="100" w:afterAutospacing="1" w:line="240" w:lineRule="auto"/>
        <w:rPr>
          <w:rFonts w:cstheme="minorHAnsi"/>
          <w:sz w:val="28"/>
          <w:szCs w:val="28"/>
        </w:rPr>
      </w:pPr>
      <w:r w:rsidRPr="00B02EE7">
        <w:rPr>
          <w:rFonts w:cstheme="minorHAnsi"/>
          <w:sz w:val="28"/>
          <w:szCs w:val="28"/>
        </w:rPr>
        <w:t>Public feedback</w:t>
      </w:r>
    </w:p>
    <w:p w14:paraId="30CD7DFE" w14:textId="77777777" w:rsidR="008471F0" w:rsidRPr="00B02EE7" w:rsidRDefault="008471F0" w:rsidP="003143FF">
      <w:pPr>
        <w:pStyle w:val="ListParagraph"/>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I was very impressed with Gemma with her teamwork attitude.</w:t>
      </w:r>
    </w:p>
    <w:p w14:paraId="56674C11" w14:textId="77777777" w:rsidR="003143FF" w:rsidRPr="00B02EE7" w:rsidRDefault="008471F0" w:rsidP="00B81CA9">
      <w:pPr>
        <w:pStyle w:val="ListParagraph"/>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 xml:space="preserve">It was a </w:t>
      </w:r>
      <w:proofErr w:type="gramStart"/>
      <w:r w:rsidRPr="00B02EE7">
        <w:rPr>
          <w:rFonts w:eastAsia="Times New Roman" w:cstheme="minorHAnsi"/>
          <w:sz w:val="28"/>
          <w:szCs w:val="28"/>
          <w:lang w:eastAsia="en-GB"/>
        </w:rPr>
        <w:t>really positive</w:t>
      </w:r>
      <w:proofErr w:type="gramEnd"/>
      <w:r w:rsidRPr="00B02EE7">
        <w:rPr>
          <w:rFonts w:eastAsia="Times New Roman" w:cstheme="minorHAnsi"/>
          <w:sz w:val="28"/>
          <w:szCs w:val="28"/>
          <w:lang w:eastAsia="en-GB"/>
        </w:rPr>
        <w:t xml:space="preserve"> experience. The staff were knowledgeable</w:t>
      </w:r>
      <w:r w:rsidR="003143FF" w:rsidRPr="00B02EE7">
        <w:rPr>
          <w:rFonts w:eastAsia="Times New Roman" w:cstheme="minorHAnsi"/>
          <w:sz w:val="28"/>
          <w:szCs w:val="28"/>
          <w:lang w:eastAsia="en-GB"/>
        </w:rPr>
        <w:t>,</w:t>
      </w:r>
      <w:r w:rsidRPr="00B02EE7">
        <w:rPr>
          <w:rFonts w:eastAsia="Times New Roman" w:cstheme="minorHAnsi"/>
          <w:sz w:val="28"/>
          <w:szCs w:val="28"/>
          <w:lang w:eastAsia="en-GB"/>
        </w:rPr>
        <w:t xml:space="preserve"> helpful and friendly</w:t>
      </w:r>
      <w:r w:rsidR="00B02EE7">
        <w:rPr>
          <w:rFonts w:eastAsia="Times New Roman" w:cstheme="minorHAnsi"/>
          <w:sz w:val="28"/>
          <w:szCs w:val="28"/>
          <w:lang w:eastAsia="en-GB"/>
        </w:rPr>
        <w:t>:</w:t>
      </w:r>
    </w:p>
    <w:p w14:paraId="53DE1D5D" w14:textId="20438C5C" w:rsidR="008471F0" w:rsidRDefault="00B02EE7" w:rsidP="003143FF">
      <w:pPr>
        <w:pStyle w:val="ListParagraph"/>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The</w:t>
      </w:r>
      <w:r w:rsidR="008471F0" w:rsidRPr="00B02EE7">
        <w:rPr>
          <w:rFonts w:eastAsia="Times New Roman" w:cstheme="minorHAnsi"/>
          <w:sz w:val="28"/>
          <w:szCs w:val="28"/>
          <w:lang w:eastAsia="en-GB"/>
        </w:rPr>
        <w:t xml:space="preserve"> team were very</w:t>
      </w:r>
      <w:r>
        <w:rPr>
          <w:rFonts w:eastAsia="Times New Roman" w:cstheme="minorHAnsi"/>
          <w:sz w:val="28"/>
          <w:szCs w:val="28"/>
          <w:lang w:eastAsia="en-GB"/>
        </w:rPr>
        <w:t xml:space="preserve"> friendly and</w:t>
      </w:r>
      <w:r w:rsidR="008471F0" w:rsidRPr="00B02EE7">
        <w:rPr>
          <w:rFonts w:eastAsia="Times New Roman" w:cstheme="minorHAnsi"/>
          <w:sz w:val="28"/>
          <w:szCs w:val="28"/>
          <w:lang w:eastAsia="en-GB"/>
        </w:rPr>
        <w:t xml:space="preserve"> informative.</w:t>
      </w:r>
    </w:p>
    <w:p w14:paraId="5A6C6197" w14:textId="4587A8A0" w:rsidR="00121DCE" w:rsidRDefault="00121DCE" w:rsidP="00121DCE">
      <w:pPr>
        <w:shd w:val="clear" w:color="auto" w:fill="FFFFFF"/>
        <w:spacing w:before="100" w:beforeAutospacing="1" w:after="100" w:afterAutospacing="1" w:line="240" w:lineRule="auto"/>
        <w:rPr>
          <w:rFonts w:eastAsia="Times New Roman" w:cstheme="minorHAnsi"/>
          <w:sz w:val="28"/>
          <w:szCs w:val="28"/>
          <w:lang w:eastAsia="en-GB"/>
        </w:rPr>
      </w:pPr>
    </w:p>
    <w:p w14:paraId="005CCD5B" w14:textId="77777777" w:rsidR="00121DCE" w:rsidRPr="00121DCE" w:rsidRDefault="00121DCE" w:rsidP="00121DCE">
      <w:pPr>
        <w:shd w:val="clear" w:color="auto" w:fill="FFFFFF"/>
        <w:spacing w:before="100" w:beforeAutospacing="1" w:after="100" w:afterAutospacing="1" w:line="240" w:lineRule="auto"/>
        <w:rPr>
          <w:rFonts w:eastAsia="Times New Roman" w:cstheme="minorHAnsi"/>
          <w:sz w:val="28"/>
          <w:szCs w:val="28"/>
          <w:lang w:eastAsia="en-GB"/>
        </w:rPr>
      </w:pPr>
    </w:p>
    <w:p w14:paraId="0B1955ED" w14:textId="77777777" w:rsidR="008471F0" w:rsidRPr="00B02EE7" w:rsidRDefault="008471F0" w:rsidP="008471F0">
      <w:pPr>
        <w:rPr>
          <w:rFonts w:cstheme="minorHAnsi"/>
          <w:sz w:val="28"/>
          <w:szCs w:val="28"/>
        </w:rPr>
      </w:pPr>
      <w:r w:rsidRPr="00B02EE7">
        <w:rPr>
          <w:rFonts w:cstheme="minorHAnsi"/>
          <w:sz w:val="28"/>
          <w:szCs w:val="28"/>
        </w:rPr>
        <w:lastRenderedPageBreak/>
        <w:t>Staff feedback</w:t>
      </w:r>
    </w:p>
    <w:p w14:paraId="6602101B" w14:textId="77777777" w:rsidR="008471F0" w:rsidRPr="00B02EE7" w:rsidRDefault="008471F0" w:rsidP="003C449F">
      <w:pPr>
        <w:pStyle w:val="ListParagraph"/>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cstheme="minorHAnsi"/>
          <w:sz w:val="28"/>
          <w:szCs w:val="28"/>
          <w:shd w:val="clear" w:color="auto" w:fill="FAFAFA"/>
        </w:rPr>
        <w:t xml:space="preserve">The day went </w:t>
      </w:r>
      <w:proofErr w:type="gramStart"/>
      <w:r w:rsidRPr="00B02EE7">
        <w:rPr>
          <w:rFonts w:cstheme="minorHAnsi"/>
          <w:sz w:val="28"/>
          <w:szCs w:val="28"/>
          <w:shd w:val="clear" w:color="auto" w:fill="FAFAFA"/>
        </w:rPr>
        <w:t>well</w:t>
      </w:r>
      <w:proofErr w:type="gramEnd"/>
      <w:r w:rsidRPr="00B02EE7">
        <w:rPr>
          <w:rFonts w:cstheme="minorHAnsi"/>
          <w:sz w:val="28"/>
          <w:szCs w:val="28"/>
          <w:shd w:val="clear" w:color="auto" w:fill="FAFAFA"/>
        </w:rPr>
        <w:t xml:space="preserve"> and it was refreshing to hold the event in person following the pandemic.</w:t>
      </w:r>
      <w:r w:rsidR="00B02EE7">
        <w:rPr>
          <w:rFonts w:cstheme="minorHAnsi"/>
          <w:sz w:val="28"/>
          <w:szCs w:val="28"/>
          <w:shd w:val="clear" w:color="auto" w:fill="FAFAFA"/>
        </w:rPr>
        <w:t xml:space="preserve"> </w:t>
      </w:r>
      <w:r w:rsidRPr="00B02EE7">
        <w:rPr>
          <w:rFonts w:eastAsia="Times New Roman" w:cstheme="minorHAnsi"/>
          <w:sz w:val="28"/>
          <w:szCs w:val="28"/>
          <w:lang w:eastAsia="en-GB"/>
        </w:rPr>
        <w:t>It was a great day, spoke to lots of people and enjoyed it.</w:t>
      </w:r>
    </w:p>
    <w:p w14:paraId="7830BFAF" w14:textId="77777777" w:rsidR="008471F0" w:rsidRPr="00B02EE7" w:rsidRDefault="008471F0" w:rsidP="008471F0">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 xml:space="preserve">A rainy day but the people who turned up were people who were genuinely interested in the job rather than just </w:t>
      </w:r>
      <w:proofErr w:type="gramStart"/>
      <w:r w:rsidRPr="00B02EE7">
        <w:rPr>
          <w:rFonts w:eastAsia="Times New Roman" w:cstheme="minorHAnsi"/>
          <w:sz w:val="28"/>
          <w:szCs w:val="28"/>
          <w:lang w:eastAsia="en-GB"/>
        </w:rPr>
        <w:t>too</w:t>
      </w:r>
      <w:proofErr w:type="gramEnd"/>
      <w:r w:rsidRPr="00B02EE7">
        <w:rPr>
          <w:rFonts w:eastAsia="Times New Roman" w:cstheme="minorHAnsi"/>
          <w:sz w:val="28"/>
          <w:szCs w:val="28"/>
          <w:lang w:eastAsia="en-GB"/>
        </w:rPr>
        <w:t xml:space="preserve"> have a look and I interviewed one of the visitors yesterday for the role and was indeed a good candidate </w:t>
      </w:r>
    </w:p>
    <w:p w14:paraId="0136A1A7" w14:textId="77777777" w:rsidR="008471F0" w:rsidRPr="00B02EE7" w:rsidRDefault="008471F0" w:rsidP="008471F0">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The day is organised well and there's always good attendance.</w:t>
      </w:r>
    </w:p>
    <w:p w14:paraId="27E4278F" w14:textId="77777777" w:rsidR="008471F0" w:rsidRPr="00B02EE7" w:rsidRDefault="008471F0" w:rsidP="008471F0">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 xml:space="preserve">The day went very well, it was good to actually engage with the public and actually get chance to talk about what </w:t>
      </w:r>
      <w:proofErr w:type="gramStart"/>
      <w:r w:rsidRPr="00B02EE7">
        <w:rPr>
          <w:rFonts w:eastAsia="Times New Roman" w:cstheme="minorHAnsi"/>
          <w:sz w:val="28"/>
          <w:szCs w:val="28"/>
          <w:lang w:eastAsia="en-GB"/>
        </w:rPr>
        <w:t>we  do</w:t>
      </w:r>
      <w:proofErr w:type="gramEnd"/>
      <w:r w:rsidRPr="00B02EE7">
        <w:rPr>
          <w:rFonts w:eastAsia="Times New Roman" w:cstheme="minorHAnsi"/>
          <w:sz w:val="28"/>
          <w:szCs w:val="28"/>
          <w:lang w:eastAsia="en-GB"/>
        </w:rPr>
        <w:t xml:space="preserve"> and the roles that we have to offer and career progression</w:t>
      </w:r>
    </w:p>
    <w:p w14:paraId="76CE7303" w14:textId="77777777" w:rsidR="008471F0" w:rsidRPr="00B02EE7" w:rsidRDefault="008471F0" w:rsidP="008471F0">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I thought the day was a great success and everyone present were approachable and great teamwork.</w:t>
      </w:r>
    </w:p>
    <w:p w14:paraId="691F2C2A" w14:textId="77777777" w:rsidR="003143FF" w:rsidRPr="00B02EE7" w:rsidRDefault="003143FF" w:rsidP="003143FF">
      <w:pPr>
        <w:shd w:val="clear" w:color="auto" w:fill="FFFFFF"/>
        <w:spacing w:before="100" w:beforeAutospacing="1" w:after="100" w:afterAutospacing="1" w:line="240" w:lineRule="auto"/>
        <w:rPr>
          <w:rFonts w:eastAsia="Times New Roman" w:cstheme="minorHAnsi"/>
          <w:b/>
          <w:sz w:val="28"/>
          <w:szCs w:val="28"/>
          <w:lang w:eastAsia="en-GB"/>
        </w:rPr>
      </w:pPr>
      <w:r w:rsidRPr="00B02EE7">
        <w:rPr>
          <w:rFonts w:eastAsia="Times New Roman" w:cstheme="minorHAnsi"/>
          <w:b/>
          <w:sz w:val="28"/>
          <w:szCs w:val="28"/>
          <w:lang w:eastAsia="en-GB"/>
        </w:rPr>
        <w:t>Patient story</w:t>
      </w:r>
    </w:p>
    <w:p w14:paraId="6BEE4968" w14:textId="2232819C" w:rsidR="003143FF" w:rsidRPr="00B02EE7" w:rsidRDefault="003143FF" w:rsidP="003143FF">
      <w:pPr>
        <w:shd w:val="clear" w:color="auto" w:fill="FFFFFF"/>
        <w:spacing w:before="100" w:beforeAutospacing="1" w:after="100" w:afterAutospacing="1" w:line="240" w:lineRule="auto"/>
        <w:rPr>
          <w:rFonts w:eastAsia="Times New Roman" w:cstheme="minorHAnsi"/>
          <w:sz w:val="28"/>
          <w:szCs w:val="28"/>
          <w:lang w:eastAsia="en-GB"/>
        </w:rPr>
      </w:pPr>
      <w:r w:rsidRPr="00B02EE7">
        <w:rPr>
          <w:rFonts w:eastAsia="Times New Roman" w:cstheme="minorHAnsi"/>
          <w:sz w:val="28"/>
          <w:szCs w:val="28"/>
          <w:lang w:eastAsia="en-GB"/>
        </w:rPr>
        <w:t>David Furze</w:t>
      </w:r>
      <w:r w:rsidR="005E6E98">
        <w:rPr>
          <w:rFonts w:eastAsia="Times New Roman" w:cstheme="minorHAnsi"/>
          <w:sz w:val="28"/>
          <w:szCs w:val="28"/>
          <w:lang w:eastAsia="en-GB"/>
        </w:rPr>
        <w:t xml:space="preserve">, High Wycombe, </w:t>
      </w:r>
      <w:r w:rsidRPr="00B02EE7">
        <w:rPr>
          <w:rFonts w:eastAsia="Times New Roman" w:cstheme="minorHAnsi"/>
          <w:sz w:val="28"/>
          <w:szCs w:val="28"/>
          <w:lang w:eastAsia="en-GB"/>
        </w:rPr>
        <w:t xml:space="preserve">was resuscitated four times by SCAS crew following a cardiac arrest four years ago before he reached the John Radcliffe for further treatment. He felt as if he had never managed to get closure on his life changing experience and therefore wanted an opportunity to get back onto a vehicle and talk to a paramedic. He felt very emotional when he was on board the ambulance and has asked if he can meet the crew who saved his life. </w:t>
      </w:r>
    </w:p>
    <w:p w14:paraId="2F83082E" w14:textId="77777777" w:rsidR="003143FF" w:rsidRPr="00B02EE7" w:rsidRDefault="003143FF" w:rsidP="003143FF">
      <w:pPr>
        <w:shd w:val="clear" w:color="auto" w:fill="FFFFFF"/>
        <w:spacing w:before="100" w:beforeAutospacing="1" w:after="100" w:afterAutospacing="1" w:line="240" w:lineRule="auto"/>
        <w:rPr>
          <w:rFonts w:eastAsia="Times New Roman" w:cstheme="minorHAnsi"/>
          <w:sz w:val="28"/>
          <w:szCs w:val="28"/>
          <w:lang w:eastAsia="en-GB"/>
        </w:rPr>
      </w:pPr>
    </w:p>
    <w:p w14:paraId="50DD87AE" w14:textId="77777777" w:rsidR="008471F0" w:rsidRPr="00B02EE7" w:rsidRDefault="008471F0" w:rsidP="008471F0">
      <w:pPr>
        <w:rPr>
          <w:rFonts w:cstheme="minorHAnsi"/>
          <w:sz w:val="28"/>
          <w:szCs w:val="28"/>
        </w:rPr>
      </w:pPr>
    </w:p>
    <w:p w14:paraId="5DAAF62D" w14:textId="77777777" w:rsidR="008471F0" w:rsidRDefault="008471F0" w:rsidP="008471F0">
      <w:pPr>
        <w:rPr>
          <w:rFonts w:ascii="Arial" w:hAnsi="Arial" w:cs="Arial"/>
          <w:color w:val="1F4E79"/>
          <w:sz w:val="24"/>
          <w:szCs w:val="24"/>
        </w:rPr>
      </w:pPr>
    </w:p>
    <w:p w14:paraId="02B2FFA2" w14:textId="77777777" w:rsidR="008471F0" w:rsidRDefault="008471F0" w:rsidP="008471F0">
      <w:pPr>
        <w:rPr>
          <w:rFonts w:ascii="Arial" w:hAnsi="Arial" w:cs="Arial"/>
          <w:color w:val="1F4E79"/>
          <w:sz w:val="24"/>
          <w:szCs w:val="24"/>
        </w:rPr>
      </w:pPr>
    </w:p>
    <w:p w14:paraId="280590D1" w14:textId="77777777" w:rsidR="008471F0" w:rsidRDefault="008471F0" w:rsidP="008471F0">
      <w:pPr>
        <w:rPr>
          <w:rFonts w:ascii="Arial" w:hAnsi="Arial" w:cs="Arial"/>
          <w:color w:val="1F4E79"/>
          <w:sz w:val="24"/>
          <w:szCs w:val="24"/>
        </w:rPr>
      </w:pPr>
    </w:p>
    <w:p w14:paraId="789166C9" w14:textId="77777777" w:rsidR="00714BD4" w:rsidRDefault="00714BD4"/>
    <w:sectPr w:rsidR="00714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00A9"/>
    <w:multiLevelType w:val="hybridMultilevel"/>
    <w:tmpl w:val="08B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E5DFA"/>
    <w:multiLevelType w:val="hybridMultilevel"/>
    <w:tmpl w:val="F31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707"/>
    <w:multiLevelType w:val="multilevel"/>
    <w:tmpl w:val="593C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E5081"/>
    <w:multiLevelType w:val="multilevel"/>
    <w:tmpl w:val="593C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A35E8"/>
    <w:multiLevelType w:val="hybridMultilevel"/>
    <w:tmpl w:val="6C9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F6AEA"/>
    <w:multiLevelType w:val="hybridMultilevel"/>
    <w:tmpl w:val="C5C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D4"/>
    <w:rsid w:val="000D177D"/>
    <w:rsid w:val="000D2D38"/>
    <w:rsid w:val="00121DCE"/>
    <w:rsid w:val="001E055C"/>
    <w:rsid w:val="003143FF"/>
    <w:rsid w:val="00330F08"/>
    <w:rsid w:val="00380113"/>
    <w:rsid w:val="003C486A"/>
    <w:rsid w:val="004A7D1B"/>
    <w:rsid w:val="004B74F6"/>
    <w:rsid w:val="005E6E98"/>
    <w:rsid w:val="00714BD4"/>
    <w:rsid w:val="00804D3F"/>
    <w:rsid w:val="008471F0"/>
    <w:rsid w:val="009A0DBC"/>
    <w:rsid w:val="00B02EE7"/>
    <w:rsid w:val="00ED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51D5"/>
  <w15:chartTrackingRefBased/>
  <w15:docId w15:val="{258B3AE1-6C8C-449F-B5C8-2D661D79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1F0"/>
    <w:pPr>
      <w:ind w:left="720"/>
      <w:contextualSpacing/>
    </w:pPr>
  </w:style>
  <w:style w:type="paragraph" w:styleId="NormalWeb">
    <w:name w:val="Normal (Web)"/>
    <w:basedOn w:val="Normal"/>
    <w:uiPriority w:val="99"/>
    <w:semiHidden/>
    <w:unhideWhenUsed/>
    <w:rsid w:val="00B02E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12768">
      <w:bodyDiv w:val="1"/>
      <w:marLeft w:val="0"/>
      <w:marRight w:val="0"/>
      <w:marTop w:val="0"/>
      <w:marBottom w:val="0"/>
      <w:divBdr>
        <w:top w:val="none" w:sz="0" w:space="0" w:color="auto"/>
        <w:left w:val="none" w:sz="0" w:space="0" w:color="auto"/>
        <w:bottom w:val="none" w:sz="0" w:space="0" w:color="auto"/>
        <w:right w:val="none" w:sz="0" w:space="0" w:color="auto"/>
      </w:divBdr>
    </w:div>
    <w:div w:id="768768780">
      <w:bodyDiv w:val="1"/>
      <w:marLeft w:val="0"/>
      <w:marRight w:val="0"/>
      <w:marTop w:val="0"/>
      <w:marBottom w:val="0"/>
      <w:divBdr>
        <w:top w:val="none" w:sz="0" w:space="0" w:color="auto"/>
        <w:left w:val="none" w:sz="0" w:space="0" w:color="auto"/>
        <w:bottom w:val="none" w:sz="0" w:space="0" w:color="auto"/>
        <w:right w:val="none" w:sz="0" w:space="0" w:color="auto"/>
      </w:divBdr>
    </w:div>
    <w:div w:id="1349599838">
      <w:bodyDiv w:val="1"/>
      <w:marLeft w:val="0"/>
      <w:marRight w:val="0"/>
      <w:marTop w:val="0"/>
      <w:marBottom w:val="0"/>
      <w:divBdr>
        <w:top w:val="none" w:sz="0" w:space="0" w:color="auto"/>
        <w:left w:val="none" w:sz="0" w:space="0" w:color="auto"/>
        <w:bottom w:val="none" w:sz="0" w:space="0" w:color="auto"/>
        <w:right w:val="none" w:sz="0" w:space="0" w:color="auto"/>
      </w:divBdr>
    </w:div>
    <w:div w:id="1844974472">
      <w:bodyDiv w:val="1"/>
      <w:marLeft w:val="0"/>
      <w:marRight w:val="0"/>
      <w:marTop w:val="0"/>
      <w:marBottom w:val="0"/>
      <w:divBdr>
        <w:top w:val="none" w:sz="0" w:space="0" w:color="auto"/>
        <w:left w:val="none" w:sz="0" w:space="0" w:color="auto"/>
        <w:bottom w:val="none" w:sz="0" w:space="0" w:color="auto"/>
        <w:right w:val="none" w:sz="0" w:space="0" w:color="auto"/>
      </w:divBdr>
    </w:div>
    <w:div w:id="2118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849e9642288f645911ab88569331696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eddd31e92899fff87e4962bf49a94a7a"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e16324-b103-49ce-bb9c-8eb177c64a7c}"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Props1.xml><?xml version="1.0" encoding="utf-8"?>
<ds:datastoreItem xmlns:ds="http://schemas.openxmlformats.org/officeDocument/2006/customXml" ds:itemID="{D5F372F3-8DC3-45EE-AA97-EA36CADF6A76}"/>
</file>

<file path=customXml/itemProps2.xml><?xml version="1.0" encoding="utf-8"?>
<ds:datastoreItem xmlns:ds="http://schemas.openxmlformats.org/officeDocument/2006/customXml" ds:itemID="{31A2C801-F599-477E-947E-71949C6BF496}">
  <ds:schemaRefs>
    <ds:schemaRef ds:uri="http://schemas.microsoft.com/sharepoint/v3/contenttype/forms"/>
  </ds:schemaRefs>
</ds:datastoreItem>
</file>

<file path=customXml/itemProps3.xml><?xml version="1.0" encoding="utf-8"?>
<ds:datastoreItem xmlns:ds="http://schemas.openxmlformats.org/officeDocument/2006/customXml" ds:itemID="{22EB2F15-0E1A-44C6-BF96-130A4CE40D76}">
  <ds:schemaRefs>
    <ds:schemaRef ds:uri="http://schemas.microsoft.com/office/2006/metadata/properties"/>
    <ds:schemaRef ds:uri="http://schemas.microsoft.com/office/infopath/2007/PartnerControls"/>
    <ds:schemaRef ds:uri="20ac6ad6-6069-44fd-bfb5-b5ca4576a916"/>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Ambulance Service</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Eaglestone</dc:creator>
  <cp:keywords/>
  <dc:description/>
  <cp:lastModifiedBy>Margaret Eaglestone</cp:lastModifiedBy>
  <cp:revision>11</cp:revision>
  <dcterms:created xsi:type="dcterms:W3CDTF">2023-04-18T16:48:00Z</dcterms:created>
  <dcterms:modified xsi:type="dcterms:W3CDTF">2023-04-19T09:56:00Z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0x010100BE4E03F3A827384E82C929BB3612DC81</vt:lpwstr>
  </property>
  <property fmtid="{D5CDD505-2E9C-101B-9397-08002B2CF9AE}" pid="3" name="MediaServiceImageTags">
    <vt:lpwstr/>
  </property>
</Properties>
</file>